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75" w:rsidRDefault="0035493B" w:rsidP="006D69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6D697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6D6975" w:rsidRPr="006D6975" w:rsidRDefault="0035493B" w:rsidP="006D6975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6D6975" w:rsidRPr="006D6975" w:rsidRDefault="0035493B" w:rsidP="006D69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privredu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regionalni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razvoj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</w:p>
    <w:p w:rsidR="006D6975" w:rsidRPr="006D6975" w:rsidRDefault="0035493B" w:rsidP="006D69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trgovinu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turizam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energetiku</w:t>
      </w:r>
    </w:p>
    <w:p w:rsidR="006D6975" w:rsidRPr="006D6975" w:rsidRDefault="006D6975" w:rsidP="006D6975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10 </w:t>
      </w:r>
      <w:r w:rsidR="0035493B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6D6975">
        <w:rPr>
          <w:rFonts w:ascii="Times New Roman" w:eastAsia="Times New Roman" w:hAnsi="Times New Roman"/>
          <w:sz w:val="24"/>
          <w:szCs w:val="24"/>
          <w:lang w:val="sr-Latn-RS" w:eastAsia="en-GB"/>
        </w:rPr>
        <w:t>:</w:t>
      </w:r>
      <w:r w:rsidRPr="006D697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Pr="006D6975">
        <w:rPr>
          <w:rFonts w:ascii="Times New Roman" w:eastAsia="Times New Roman" w:hAnsi="Times New Roman"/>
          <w:sz w:val="24"/>
          <w:szCs w:val="24"/>
          <w:lang w:eastAsia="en-GB"/>
        </w:rPr>
        <w:t>06-2</w:t>
      </w:r>
      <w:r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>/</w:t>
      </w:r>
      <w:r w:rsidRPr="006D6975">
        <w:rPr>
          <w:rFonts w:ascii="Times New Roman" w:eastAsia="Times New Roman" w:hAnsi="Times New Roman"/>
          <w:sz w:val="24"/>
          <w:szCs w:val="24"/>
          <w:lang w:eastAsia="en-GB"/>
        </w:rPr>
        <w:t>45-2</w:t>
      </w:r>
      <w:r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</w:p>
    <w:p w:rsidR="006D6975" w:rsidRPr="006D6975" w:rsidRDefault="006D6975" w:rsidP="006D6975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D6975"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20. </w:t>
      </w:r>
      <w:r w:rsidR="0035493B">
        <w:rPr>
          <w:rFonts w:ascii="Times New Roman" w:eastAsia="Times New Roman" w:hAnsi="Times New Roman"/>
          <w:sz w:val="24"/>
          <w:szCs w:val="24"/>
          <w:lang w:val="sr-Cyrl-RS" w:eastAsia="en-GB"/>
        </w:rPr>
        <w:t>maj</w:t>
      </w:r>
      <w:r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</w:t>
      </w:r>
      <w:r w:rsidRPr="006D6975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35493B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Pr="006D6975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6D6975" w:rsidRPr="006D6975" w:rsidRDefault="0035493B" w:rsidP="006D6975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6D6975" w:rsidRPr="006D697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6D6975" w:rsidRDefault="006D6975" w:rsidP="006D6975">
      <w:pPr>
        <w:tabs>
          <w:tab w:val="left" w:pos="1496"/>
          <w:tab w:val="center" w:pos="71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D6975" w:rsidRDefault="0035493B" w:rsidP="006D69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</w:rPr>
        <w:t>ZAPISNIK</w:t>
      </w:r>
    </w:p>
    <w:p w:rsidR="006D6975" w:rsidRDefault="0035493B" w:rsidP="006D69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DRUGE</w:t>
      </w:r>
      <w:r w:rsidR="006D6975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SEDNICE</w:t>
      </w:r>
      <w:r w:rsidR="006D6975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ODBORA</w:t>
      </w:r>
      <w:r w:rsidR="006D6975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6D6975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PRIVREDU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REGIONALNI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RAZVOJ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TRGOVINU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</w:p>
    <w:p w:rsidR="006D6975" w:rsidRDefault="0035493B" w:rsidP="006D69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TURIZAM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ENERGETIKU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ODRŽANE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>13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MAJA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D6975">
        <w:rPr>
          <w:rFonts w:ascii="Times New Roman" w:eastAsia="Calibri" w:hAnsi="Times New Roman" w:cs="Times New Roman"/>
          <w:sz w:val="24"/>
          <w:szCs w:val="24"/>
          <w:lang w:val="ru-RU"/>
        </w:rPr>
        <w:t>2024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GODINE</w:t>
      </w:r>
    </w:p>
    <w:p w:rsidR="006D6975" w:rsidRDefault="006D6975" w:rsidP="006D69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D6975" w:rsidRDefault="006D6975" w:rsidP="006D6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</w:p>
    <w:p w:rsidR="006D6975" w:rsidRDefault="006D6975" w:rsidP="006D6975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eastAsia="Calibri" w:hAnsi="Times New Roman" w:cs="Times New Roman"/>
          <w:sz w:val="24"/>
          <w:szCs w:val="24"/>
        </w:rPr>
        <w:t>Sednica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počela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11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časova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6975" w:rsidRDefault="006D6975" w:rsidP="006D6975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predsedavala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Paunović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D6975" w:rsidRDefault="006D6975" w:rsidP="006D6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predsedavajućeg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Miloljub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Albijanić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Živan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Bajić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Beloica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Martać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Stanislava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Janošević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Tijana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Davidovac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Radosavljević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Miroslav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Kondić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Stanojević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Dalibor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Jekić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Željko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Veselinović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Žarko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Ristić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prof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dr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Cvejić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doc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dr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Biljana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CS"/>
        </w:rPr>
        <w:t>Đorđević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0C3B14" w:rsidRDefault="006D6975" w:rsidP="006D6975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Života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Starčević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Sandić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niti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0C3B14" w:rsidRPr="003775EE" w:rsidRDefault="000C3B14" w:rsidP="006D6975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prisustvovao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Bajatović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Milimir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Vujadinović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Dušan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Marić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Bojan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Torbica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Sanela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Strainović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Olivera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Denić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Dragana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Arsić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Ivan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Karić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Mila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Popović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3775E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D6975" w:rsidRDefault="006D6975" w:rsidP="006D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Artur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Lorkovski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Energetske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zajednice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Dirk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Bušle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3775EE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Dirk Buschle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direktora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Branislava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Marsenić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Maksimović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ekspert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gas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Jasmina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Trhulj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rukovodilac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ektričnu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energiju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Sekretarijatu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CS"/>
        </w:rPr>
        <w:t>EnZ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rudarstva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energetike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Dubravka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Đedović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Handanović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Veljko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Kovačević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C3B14" w:rsidRPr="000C3B1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Jovana</w:t>
      </w:r>
      <w:r w:rsidR="000C3B14" w:rsidRPr="000C3B1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Joksimović</w:t>
      </w:r>
      <w:r w:rsidR="000C3B14" w:rsidRPr="000C3B14">
        <w:rPr>
          <w:rFonts w:ascii="Times New Roman" w:hAnsi="Times New Roman" w:cs="Times New Roman"/>
          <w:sz w:val="24"/>
          <w:szCs w:val="24"/>
        </w:rPr>
        <w:t xml:space="preserve"> – </w:t>
      </w:r>
      <w:r w:rsidR="0035493B">
        <w:rPr>
          <w:rFonts w:ascii="Times New Roman" w:hAnsi="Times New Roman" w:cs="Times New Roman"/>
          <w:sz w:val="24"/>
          <w:szCs w:val="24"/>
        </w:rPr>
        <w:t>pomoćnik</w:t>
      </w:r>
      <w:r w:rsidR="000C3B14" w:rsidRPr="000C3B1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ministra</w:t>
      </w:r>
      <w:r w:rsidR="000C3B14" w:rsidRPr="000C3B1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za</w:t>
      </w:r>
      <w:r w:rsidR="000C3B14" w:rsidRPr="000C3B1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medjunarodnu</w:t>
      </w:r>
      <w:r w:rsidR="000C3B14" w:rsidRPr="000C3B1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saradnju</w:t>
      </w:r>
      <w:r w:rsidR="000C3B14" w:rsidRPr="000C3B1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i</w:t>
      </w:r>
      <w:r w:rsidR="000C3B14" w:rsidRPr="000C3B1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EU</w:t>
      </w:r>
      <w:r w:rsidR="000C3B14" w:rsidRPr="000C3B1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intergracije</w:t>
      </w:r>
      <w:r w:rsidR="000C3B14" w:rsidRPr="000C3B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</w:rPr>
        <w:t>Rade</w:t>
      </w:r>
      <w:r w:rsidR="000C3B14" w:rsidRPr="000C3B1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Mrdak</w:t>
      </w:r>
      <w:r w:rsidR="000C3B14" w:rsidRPr="000C3B1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Zlatković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Dragiša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Lazarević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savetnici</w:t>
      </w:r>
      <w:r w:rsidRP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Čarkić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Radulović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klimatske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AERS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Dejana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Stefanović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Negica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Rajakov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Petković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Aca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0C3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Boris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Dumnić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Republičke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mreže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Veljić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Kljajić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C3B14" w:rsidRDefault="000C3B14" w:rsidP="006D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6975" w:rsidRDefault="006D6975" w:rsidP="006D6975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46A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B46A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46AE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6D6975" w:rsidRDefault="006D6975" w:rsidP="006D6975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6975" w:rsidRDefault="0035493B" w:rsidP="006D6975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6D6975" w:rsidRPr="000C3B14" w:rsidRDefault="006D6975" w:rsidP="000C3B1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0C3B1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        1. </w:t>
      </w:r>
      <w:r w:rsidR="0035493B">
        <w:rPr>
          <w:rFonts w:ascii="Times New Roman" w:eastAsia="Calibri" w:hAnsi="Times New Roman" w:cs="Times New Roman"/>
          <w:sz w:val="24"/>
          <w:szCs w:val="24"/>
        </w:rPr>
        <w:t>Predstavljanje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Godišnjeg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izveštaja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Sekretarijata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Energetske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zajednice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o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napretku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Srbije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u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implementaciji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propisa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iz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oblasti</w:t>
      </w:r>
      <w:r w:rsidRPr="000C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</w:rPr>
        <w:t>energetike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(10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06-995/24 </w:t>
      </w:r>
      <w:proofErr w:type="gramStart"/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proofErr w:type="gramEnd"/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11.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aprila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2024.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Pr="000C3B14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6D6975" w:rsidRPr="000C3B14" w:rsidRDefault="006D6975" w:rsidP="000C3B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2. 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Određivanje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dva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dva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zamenika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delegacije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učešće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sastancima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Parlamentarnog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plenuma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Energetske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zajednice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(10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114-944/24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8.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aprila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2024.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Pr="000C3B14">
        <w:rPr>
          <w:rFonts w:ascii="Times New Roman" w:eastAsia="Calibri" w:hAnsi="Times New Roman" w:cs="Times New Roman"/>
          <w:sz w:val="24"/>
          <w:szCs w:val="24"/>
          <w:lang w:val="sr-Cyrl-RS"/>
        </w:rPr>
        <w:t>).</w:t>
      </w:r>
    </w:p>
    <w:p w:rsidR="006D6975" w:rsidRDefault="006D6975" w:rsidP="006D6975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sr-Cyrl-CS" w:eastAsia="sr-Cyrl-CS"/>
        </w:rPr>
      </w:pPr>
    </w:p>
    <w:p w:rsidR="006D6975" w:rsidRDefault="006D6975" w:rsidP="006D697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6975" w:rsidRDefault="0035493B" w:rsidP="006D6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6D69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6D69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6D69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6D69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Predstavljanje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Godišnjeg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izveštaja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Sekretarijata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Energetske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zajednice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napretku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Republike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Srbije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implementaciji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propisa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oblasti</w:t>
      </w:r>
      <w:r w:rsidR="006D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energetike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F97738" w:rsidRDefault="00F97738" w:rsidP="006D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C2E5C" w:rsidRDefault="00F97738" w:rsidP="00FC2E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uvodnim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napomenama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Artur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Lorkovski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C2E5C">
        <w:rPr>
          <w:lang w:val="sr-Cyrl-C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="00FC2E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CS"/>
        </w:rPr>
        <w:t>Sekretarijata</w:t>
      </w:r>
      <w:r w:rsidR="00FC2E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FC2E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CS"/>
        </w:rPr>
        <w:t>zajednice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odličnoj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inistarstvom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Narodnom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slupštinom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regulatornim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srpskim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perspektive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najbolje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rangirana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ugovorna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Nacionali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EMS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pravno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funkcionalno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razdvojen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usvojenim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julu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formirana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nazavisna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Republička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vršenje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operatorima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napravila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korak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okončanju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razdvajanja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svojih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unapred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funkciji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2016.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julu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pokrenuto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unutar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dnevno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tržiše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Državna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kompanija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Elektroprivreda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EPS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nastavlja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dominantan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igrač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srpskom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Obavljene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konsultacije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Vladom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Nacrta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energetskog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klimatskog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FE42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Sekretarijat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komentare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ubrzanom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transponuje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Uredbu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skladištenju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Ispunila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ciljeve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skladištenje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Sejkretarijat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sprečavanja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poremećaja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snabdevanju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vanredne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situacije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energiji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klimi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trećine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zakonodavstva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transponovala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implementirala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uzima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obzir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faktor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ispunjavanju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članstvo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prešla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trećine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Ocenio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uspeh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ostaje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trećina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verovatno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najteža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poređenju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zemljama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izuzetan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postignut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integraciji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usvojila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paket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decembru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omogućava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ubrazanu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integraciju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želi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postići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želja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zemalje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Zapadnog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Balkana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stanju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pristupe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915A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Nacrt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pripremljen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konsultacija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Sekretarijatom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predstoji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parlamentu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distributivnih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razdvojeni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tekovinama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ključni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element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obezbeđivanje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adekvatne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električnoj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Uredba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REMIT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adekvatno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transponovana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sprovedena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dominantan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položaj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EPS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maloprodajnom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povećan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preduzeti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primena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odredbi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501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promeni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snabdevača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Alokacija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Bugarskom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Hrvatskom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4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odvija</w:t>
      </w:r>
      <w:r w:rsidR="00C34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34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34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zajedničke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aukcije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ostalim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granicama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perspektive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stanovišta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stvaranja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regionalnog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spajanja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tržištem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rešiti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alokacije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Kosovom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="00C34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4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usklađenosti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C2E5C" w:rsidRDefault="00C34381" w:rsidP="00C3438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manje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vidljiv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transportnog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sertifikovan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dopune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usvojene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omoguće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razdvajanje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Transportgas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modelu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nezavisnog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želi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podstakne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usklađuju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zakonodavstvom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Stvoren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prostor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adekvatno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razdvajanje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predstoji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skladištenja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razdvojen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njegova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sertifikacija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Uredbi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skladištenju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budućnosti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Distribucija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razdvojena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Direktivom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daljih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poboljšanja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Interkonektor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Bugarska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završen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operativan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odlična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stvar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obezbeđuje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budućnosti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2E5C" w:rsidRDefault="00C34381" w:rsidP="00C3438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dekarbonizacije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predvodnik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polju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Nacrt</w:t>
      </w:r>
      <w:r w:rsidR="00C16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klimatskog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Sekretarijatu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komnetari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videti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stranici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C1647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C16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uvaženi</w:t>
      </w:r>
      <w:r w:rsidR="00C16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16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 w:rsidR="00C16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završnog</w:t>
      </w:r>
      <w:r w:rsidR="00C16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dokumenta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C16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16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obnovljivoj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energiji</w:t>
      </w:r>
      <w:r w:rsidR="00C1647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aukcije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integrisane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novousvojenog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ključnog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uspešno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primenila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funkcionalni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garancija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porekla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uključuje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pravila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načinu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proračuna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prikazivanja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udela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vrsta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prodataoj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električnoj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nacionalnom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rezidualnom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miksu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postojeći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zakonski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okvir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predviđa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izdavanje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garancija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porekla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obuhvatanja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nosilaca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Direktiva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izvorima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usvojen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decembru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2022.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adekvatno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transponovan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klimatski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Tekovine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energetskoj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AD1B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implementirane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podzakonski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tek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obezbede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C2E5C" w:rsidRDefault="00AD1BC1" w:rsidP="00AD1BC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sigurnosti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naftom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nivo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usklađenosti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visok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naftu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ostavarila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zalihama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naftnih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derivata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usvojila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podzakonska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zalihama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formira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obavezne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rezerve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ispunila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vanrednim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zalihama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nafte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90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uvoza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61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2E5C" w:rsidRDefault="006847FC" w:rsidP="006847FC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prekrašaj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Ministarski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nepotpunom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transpozicijom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izmenjene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Direktive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proceni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uticaja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životnu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sredinu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istekao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režim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isključivanja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termoelektrana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Termoelektrana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Morava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ranije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dostigla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limit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ranije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prekršajnom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jedinice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suprotnosti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Direktivom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ložištima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2E5C" w:rsidRDefault="006847FC" w:rsidP="006847FC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Zaključio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fokus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traspoziciji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implementaciji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paketa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integraciji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potreba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brzom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tranpozicijom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sigurnosti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skladištenju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daljeg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odlaganja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uticaja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životnu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sredinu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regulisane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usaglašen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rešiti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daljeg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odlaganja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obezbedi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EMS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SIPEKS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ispoštuju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zakonske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spajanja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sertifikuje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prenos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skladištenje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omogući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trećim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stranama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tačkama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interkonekcije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ukloni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prepreke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učesnike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tržitšu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konačnog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NEKP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preporukama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uskoro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Ponovio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nada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obezbedi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razdvajanje</w:t>
      </w:r>
      <w:r w:rsidR="00AC25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trećih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interkonektovanim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tačkama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transport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prirodnog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D6975" w:rsidRDefault="00AC25DA" w:rsidP="006D6975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dokumenata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pozvao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Parlamentarnom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plenumu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održati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Beču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prostor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platforma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diskusiju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projektima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implementiraju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Najvažniji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određivanja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ugljenika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ključnog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zasnovan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uglju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paralamenti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podsticaj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raspravi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temama</w:t>
      </w:r>
      <w:r w:rsidR="00FC2E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D6975" w:rsidRDefault="00B46AE2" w:rsidP="0075612F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Dubravka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Đedović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Handanović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označila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lidera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reformi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2023.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napredovala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dekarbonizacije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generalno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reformama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sprovedene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energetskom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ugovornih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prethodnoj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ostvarila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63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%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ispunjenih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dekarbonizacije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učinak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79%,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63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%,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upravljanju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61%,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najbolji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dopuna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korišćenju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uspešno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sprovedena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najveća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organizovana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aukcija</w:t>
      </w:r>
      <w:r w:rsidR="006D6975" w:rsidRPr="00B46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6975" w:rsidRPr="00B46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dodelu</w:t>
      </w:r>
      <w:r w:rsidR="006D6975" w:rsidRPr="00B46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tržišnih</w:t>
      </w:r>
      <w:r w:rsidR="006D6975" w:rsidRPr="00B46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premija</w:t>
      </w:r>
      <w:r w:rsidR="006D6975" w:rsidRPr="00B46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6975" w:rsidRPr="00B46A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ostvarile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Britanija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neuspešan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Rezultat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milijardu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privatnih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investicija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devet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vetro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solarnih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elektrana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711 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>MW,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mreži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solarnih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vetro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elektrana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dvostruko</w:t>
      </w:r>
      <w:r w:rsidR="0075612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nižu</w:t>
      </w:r>
      <w:r w:rsidR="0075612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cenu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električne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energije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tada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tržišne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cene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koja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75612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ostvarena</w:t>
      </w:r>
      <w:r w:rsidR="0075612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75612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ovom</w:t>
      </w:r>
      <w:r w:rsidR="0075612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postupku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trogodišnjeg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aukcija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2025.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obezbedi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1300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 xml:space="preserve"> MW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ponudi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400 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>MW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zavisi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analiza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sprovedu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ekonomski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rast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generisati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investicije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narednih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najskorije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otvara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vetropark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,,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Krivača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aukcije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digitalizovan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efikasan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transparentan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sproveden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evropskih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partnera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Uspešno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procesa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važan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korak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prelasku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čistije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7561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4682" w:rsidRDefault="0075612F" w:rsidP="008E468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Zahvaljujući</w:t>
      </w:r>
      <w:r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imenama</w:t>
      </w:r>
      <w:r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korišćenju</w:t>
      </w:r>
      <w:r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osnovana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Energetska</w:t>
      </w:r>
      <w:r w:rsidR="00EB5C91" w:rsidRPr="00EB5C91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zadruga</w:t>
      </w:r>
      <w:r w:rsidR="00EB5C91" w:rsidRPr="00EB5C91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Elektropionir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napravila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solarne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elektrane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Staroj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planini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energija</w:t>
      </w:r>
      <w:r w:rsidR="00EB5C9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vetra</w:t>
      </w:r>
      <w:r w:rsidR="00EB5C9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završeno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prvo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proizvodno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postrojenje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Elektroprivrede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6D6975" w:rsidRP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narednih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planirano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završi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 w:rsidR="006D6975">
        <w:rPr>
          <w:rFonts w:ascii="Times New Roman" w:hAnsi="Times New Roman" w:cs="Times New Roman"/>
          <w:sz w:val="24"/>
          <w:szCs w:val="24"/>
          <w:lang w:val="sr-Latn-RS"/>
        </w:rPr>
        <w:t>GW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samobalansiranih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solarnih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elektrana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baterijskim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sistemima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skladištenje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strateško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partnerstvo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postiže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čista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snabdevanja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završiti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izrada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tehničke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dokumentacije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omogućiti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početak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pripremnih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radova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izgradnji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reverzibilnih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“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Bistrica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najvažniji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energetskom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omogućiti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izgradnji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reverzibilnih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hidroelektrana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Japana</w:t>
      </w:r>
      <w:r w:rsidR="00EB5C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nedelje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potvrdila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formalizovala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8E468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D6975" w:rsidRDefault="008E4682" w:rsidP="008E468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pušteno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postrojenje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odsumporavanje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TENT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215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ekološki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nekoj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termoelektrani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Evropi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treći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Emisija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sumpor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dioksida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smanjila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emisija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praškastih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materija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redukovana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pusti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postrojenje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TENT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time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staviti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emisije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štetnih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EPS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velikim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blokovima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TENT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Termoelektrani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Kostolac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takva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postrojenja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postrojenja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proizvode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90 %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termoelektrana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6975" w:rsidRDefault="008E4682" w:rsidP="00A8187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Zapadnom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Balkanu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funkcionalno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unapred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dnevno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garancija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porekla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Obavljena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rasprava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završen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Nacrt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integrisanog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energetskog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klimatskog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2030.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vizijom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2050.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Nastaviće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realizacijom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doprineti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smanjenju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efektom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staklene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bašte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A2B41">
        <w:rPr>
          <w:rFonts w:ascii="Times New Roman" w:hAnsi="Times New Roman" w:cs="Times New Roman"/>
          <w:sz w:val="24"/>
          <w:szCs w:val="24"/>
          <w:lang w:val="sr-Cyrl-RS"/>
        </w:rPr>
        <w:t xml:space="preserve"> 40,3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%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emisije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1990.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uskoro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Vladom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poslanicima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naći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Strategija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2040.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jako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bitno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E6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stalno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povećava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domaćinstava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opštine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subvencionišu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10.000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domaćinstava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dobilo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ugovore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subvencije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Uvedena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novina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ugroženih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kupaca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obezbede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sopstvena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subvencije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idu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90 %.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usvojila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Strategiju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niskougljeničnog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2030.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projekcijama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2050.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dostizanje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klimatske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neutralnosti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potrebna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značajna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finansijska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D6975" w:rsidRDefault="00A81871" w:rsidP="00A81871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najbolja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ugovornim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stranama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decembru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puštena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interkonekcija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Bugarska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Zahvaljujući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projektu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nastavlja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daljom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gasifikacijom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delova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Pr="00A81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Dimitrovgrad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Palanka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Pirot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energentu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Unapređen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okvir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reguliše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proceduru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ostvarivanja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popuste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grejanje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sticanje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statusa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ugroženog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kupca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Penzionerima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najnižim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penzijama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npr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omogućeno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zimskim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mesecima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dobiju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umanjene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mesečne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račune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dopuna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omogućiti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transponovanje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paketa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olakšati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poslovanje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našim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privrednim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subjektima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Prioritet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ostaje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nezavisnost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najnižoj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građane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Republička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jenedavno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osnovana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omogućila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razdvajanje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C25DA" w:rsidRDefault="00AC25DA" w:rsidP="00E527C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najboljih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37534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nezavisvno</w:t>
      </w:r>
      <w:r w:rsidR="00537534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regulatorno</w:t>
      </w:r>
      <w:r w:rsidR="00537534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ovlašćenja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razdvaja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tek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subjekti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razdvoje</w:t>
      </w:r>
      <w:r w:rsidR="005375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sertifikaciju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utvrđuje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razdvojena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Činjenica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Transportgas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predavao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sertifikaciju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odbijen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527C2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E527C2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E527C2" w:rsidRPr="00C70F4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527C2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nepotpun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propisan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posao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Pravila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priključenje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završena</w:t>
      </w:r>
      <w:r w:rsidR="00E527C2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su</w:t>
      </w:r>
      <w:r w:rsidR="00E527C2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još</w:t>
      </w:r>
      <w:r w:rsidRPr="00C70F4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novembra</w:t>
      </w:r>
      <w:r w:rsidRPr="00C70F44">
        <w:rPr>
          <w:rFonts w:ascii="Times New Roman" w:hAnsi="Times New Roman" w:cs="Times New Roman"/>
          <w:sz w:val="24"/>
          <w:szCs w:val="24"/>
        </w:rPr>
        <w:t xml:space="preserve"> 2023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70F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493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razdvajanja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Transportgas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predao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sertifikaciju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završen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zakonskom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Gastrans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nastavak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Turkog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toka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527C2" w:rsidRP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prelazi</w:t>
      </w:r>
      <w:r w:rsidR="00E527C2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E527C2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teritorije</w:t>
      </w:r>
      <w:r w:rsidR="00E527C2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Praktično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veza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Bugarske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Mađarske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važećem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dala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Akt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izuzeću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investitorima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gasovod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predviđao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najvećoj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uvaži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urađeno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uvažene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bile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uvažene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Akt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izuzeću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Gastrans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55%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izlazima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izgradili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gasovod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55%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ide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45%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otvoreno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kog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trgovca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Naznačeno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daleko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otvorenost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gasovoda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pogotovo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izlazima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uzme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TAP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gasovod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ide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Albanije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akt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dala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Albanija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odobrila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izuzeće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95%,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5 %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ostalo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kog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trgovca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gleda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potrošnja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3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milijarde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kubika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izgradnjom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interkonektora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kapacitet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milion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osamsto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kubika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nejasno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stalno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spočitava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uvaženo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najvećoj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uvaženo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nadu</w:t>
      </w:r>
      <w:r w:rsidR="00E527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naredne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nezavisno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regulatorno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bavi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politikom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bavi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striktno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primenom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C70F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C25DA" w:rsidRDefault="00E527C2" w:rsidP="00E527C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Kostić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detaljno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analiziran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implementacioni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uspostavljena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nezavisna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vršenje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operatorima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regulator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ponovo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proceni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usaglašenost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kriterijumima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razdvajanja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analizirana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povezanim</w:t>
      </w:r>
      <w:r w:rsidR="00AC25DA" w:rsidRPr="00C70F4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A709F">
        <w:rPr>
          <w:rFonts w:ascii="Times New Roman" w:hAnsi="Times New Roman" w:cs="Times New Roman"/>
          <w:sz w:val="24"/>
          <w:szCs w:val="24"/>
        </w:rPr>
        <w:t>.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35493B">
        <w:rPr>
          <w:rFonts w:ascii="Times New Roman" w:hAnsi="Times New Roman" w:cs="Times New Roman"/>
          <w:sz w:val="24"/>
          <w:szCs w:val="24"/>
        </w:rPr>
        <w:t>romena</w:t>
      </w:r>
      <w:r w:rsidR="00AC25DA" w:rsidRPr="00C70F4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je</w:t>
      </w:r>
      <w:r w:rsidR="00AC25DA" w:rsidRPr="00C70F44">
        <w:rPr>
          <w:rFonts w:ascii="Times New Roman" w:hAnsi="Times New Roman" w:cs="Times New Roman"/>
          <w:sz w:val="24"/>
          <w:szCs w:val="24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</w:rPr>
        <w:t>pozitivna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operatorima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prenosnog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energetskog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subjekta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fukciju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skladištenja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potvrditi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postojeću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sertifikaciju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osnova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ponovno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preispitivanje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sertifikaciju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Elektromreže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balansnih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pomoćnih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regulisane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Poznato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balansiranje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EMS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havarija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sme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ostati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balansne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regulisanje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nedostajanje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unutar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julu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uspostavljeno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uveden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hibridni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njemu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maksimalna</w:t>
      </w:r>
      <w:r w:rsidR="00CA70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snabdevači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bidovali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aukcijama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nedostajuće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kapacitete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obezbeđivao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EPS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e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regulisano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uskoro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rešeno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povećane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dominacije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EPS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maloprodajnom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Preporuke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maksimalnim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cenama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dovela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prelaska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EPS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saznanjima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57.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energetici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funkcionalnosti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rasta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privremeno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ograničila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industrijske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potrošače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radila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cela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Evropa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izuzev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navodi</w:t>
      </w:r>
      <w:r w:rsidR="004F00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primedba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radila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cela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EPS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dominaciju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nepovoljnijim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ostale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snabdevače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svoju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proizvedenu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mogao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tržišnim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cenama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razliku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ostalih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snabdevača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navod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03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transportnog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sertifikovan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operator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transportnog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sertifikovan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870E57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propis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postao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našeg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procedura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prođe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AERS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razmatra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sertifikaciju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Transportgasa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upravlja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gasovodnom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mrežom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83% 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Akt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izuzeću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dat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Gastrans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upravlja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13%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Jugorosgaz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posluje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3%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870E5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C25DA" w:rsidRPr="00C70F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D788D" w:rsidRDefault="00870E57" w:rsidP="004D788D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diskusiji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postavili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pitanja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izneli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stavove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mišljenja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dali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predloge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sugestije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Postavljena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sledeća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pitanja</w:t>
      </w:r>
      <w:r w:rsidR="004D788D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:rsidR="004D788D" w:rsidRDefault="004D788D" w:rsidP="004D7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organi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utiču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ruske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partnere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reši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Jugorosgas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ukupnoj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potrošnji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milijarde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kubnih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metara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kompanije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Jugorozgas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kubnih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metara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</w:p>
    <w:p w:rsidR="004D788D" w:rsidRDefault="0035493B" w:rsidP="004D7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D78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78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4D78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78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snabdevanju</w:t>
      </w:r>
      <w:r w:rsidR="004D78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78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transportu</w:t>
      </w:r>
      <w:r w:rsidR="004D78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="004D78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4D788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D788D" w:rsidRDefault="004D788D" w:rsidP="004D7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kakva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deponijom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Užicu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gori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uradi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ekološke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katastrofe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4D788D" w:rsidRDefault="004D788D" w:rsidP="004D7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fazi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najvažnijih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strateških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dokumenata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23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223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223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223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NKEP</w:t>
      </w:r>
      <w:r w:rsidR="00C223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23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Strategija</w:t>
      </w:r>
      <w:r w:rsidR="00C223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C223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C223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odgovore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uticati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celokupnu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D788D" w:rsidRDefault="004D788D" w:rsidP="004D7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emisija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zagađenja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termoelektrana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sprečava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4D788D" w:rsidRDefault="004D788D" w:rsidP="004D7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ugradnje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pametnih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brojila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očekivati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D788D" w:rsidRDefault="004D788D" w:rsidP="004D788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izraženo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zadovoljstvo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navodima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distribuciji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4D788D" w:rsidRDefault="004D788D" w:rsidP="004D788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kompanije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Gastrans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transportuje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granice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Bugarskom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granice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Mađarskom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Latn-RS"/>
        </w:rPr>
        <w:t>previše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zavisi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centralnog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sajtu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Sekretarijata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GASTRANS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izuzeću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regulator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sertifikuje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ocene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implementaciji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blaže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pozitivne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efekte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kompanija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ostvarila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uticajem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adekvatnog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nivoa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zaliha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Banatski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Dvor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primedba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pristupu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interkonekciji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Horgoš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višestruko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nižu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periodima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Uporište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tvrdnje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činjenici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1,3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kubnih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metara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slobodnih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zainteresovanih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Ukazano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kompanije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Rumunije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zaposlena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izvezla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400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ocenjeno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objektivno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funkcionisanje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D788D" w:rsidRDefault="004D788D" w:rsidP="004D788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energentima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rukovodi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tržišnim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principima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političke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pristrasnosti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D788D" w:rsidRDefault="004D788D" w:rsidP="004D788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Istaknuto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ocenjuje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snabdevanje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naftom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zabrinjavajući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implementacije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unapređenja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58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daljinskog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grejanja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četvrtina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naplaćuje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potrošnju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grejanje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utrošku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kupovna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moć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F613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F6135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zadržavanje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B410CB" w:rsidRP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nekim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lokalnim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samoupravama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niskom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onemogućava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prostu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reprodukciju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čini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poslovanje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toplana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lokalnim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samoupravama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neodrživim</w:t>
      </w:r>
      <w:r w:rsidR="00B410C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stambenih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A4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kupovnoj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spremni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investicije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4755" w:rsidRDefault="00AA4755" w:rsidP="004D788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Izneta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primedba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Dubravka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Đedović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Handanović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postavljaju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64C7" w:rsidRDefault="009164C7" w:rsidP="009164C7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odgovoru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iznete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sugestije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dobra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vest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prethodnom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mandatu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izrađen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NEKP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prošli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zakonodavne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Sačinila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interresorna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raznih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nevladinih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očekivano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usaglašavanje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ušlo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tehnički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mandat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formiranju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sprovede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preostali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Ukazano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dobili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komentare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najznačajnija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primedba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energetskom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miksu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odlukom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40%,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stavili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33,6%.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prezentacije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precizno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izvedeno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integrisanom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naveli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koristiti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pravom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dostaviti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obrazloženja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odstupamo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utvrđen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odlukom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Obrazloženja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vrlo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jasna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tehnički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grejanja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hlađenja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bismo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ispunili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toplotne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pumpe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instaliramo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450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toplotnih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pumpi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4000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prodaji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drastičniji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biomase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postavljen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ugrozili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održivi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korekcije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dovele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odstupanja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onog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opravdani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obrazloženi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Usvemu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ostalom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ispunjavamo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postavljene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ciljeve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Pripremljen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nacrt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pretpostavka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naredna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finalizovan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ući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prvih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100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uspeti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pustimo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Vladu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Blok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3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jako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važan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bazna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kojka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nama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potrebna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zavisnosti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granici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nemamo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onda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kompezuje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uvoz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3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doneti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planiranju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jeon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jako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važan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raduje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nas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činjenica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konačni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očekujemo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gotovi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građevniski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radovi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prođemo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proceduru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izdavanja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neophodnih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dozvola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novembru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Istaknuto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blok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3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projektovanja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predvideo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primarene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redukcije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štetnih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materija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naredne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predviđa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remont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uvedu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sekundarne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redukciješto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nas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dovesti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drastičan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niži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nivo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emisija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standarde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Primarnu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redukciju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štetnih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gasova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sproveli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Termoelektrani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Kostolac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2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naredne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sprovedeno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sekundarno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smanjenje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emisije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štetnih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gasova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termoelektrane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narednih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vazdušnih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banja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insistira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bat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principima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Sinergija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privatnog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jako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pokušano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ugradi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strateške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dokumente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trogodišnji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aukcija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pođemo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ciljeva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definisala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jako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težak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zadatak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fizički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izvede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postigne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učešću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45%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učešćem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oblati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električne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3,5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gigavata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nemoguće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uradi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2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gigavata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obezbedi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finansiranje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1,5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gigavat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aukcija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aukcija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otvaranju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pokazao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efikasan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krugu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dobijeno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450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megavata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trogodišnji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aukcija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870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megavata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privatne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projekte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samobalansiranih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solarnih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elektrana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fazi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pregovaranja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dobiće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gigavat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Kroz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reverzibilnu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elektranu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Bistrica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plus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vetropark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Kostolac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2030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ostvariti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3,5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gigavata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obnovljivih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izvora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 w:rsidR="002574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postiže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45%.</w:t>
      </w:r>
      <w:r w:rsidRPr="009164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distributivna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ostvaren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ogroman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poslednje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Pokrenut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važnih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običnog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građanina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broja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stubova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distibutivne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rekonstrukcije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trafostanica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kraja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zameni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400.000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brojila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zamenjeno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200.000.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Blizu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pametnih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brojila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velikoj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promeniti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funkcionisanje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obračun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64C7" w:rsidRPr="001B3AE6" w:rsidRDefault="00FE41BF" w:rsidP="009164C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9164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9164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9164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Čarkić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164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9164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64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64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164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9164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aktivno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uključeni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sanaciju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požara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deponiji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Užicu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svakodnevno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terenu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Angažovano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desetina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komada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mehanizacije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saniranje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Požar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lokalizovan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njegovom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gašenju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selu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Užica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merna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stanica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zabeležila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porast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srednje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dnevne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koncentracije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graničnih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zagađujućih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materija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naredno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planu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proširenje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modernizacija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deponije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evropskim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standardima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opredeljena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raspisan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tender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izvođača</w:t>
      </w:r>
      <w:r w:rsidR="009164C7" w:rsidRPr="001B3AE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6975" w:rsidRDefault="00AA4755" w:rsidP="006D6975">
      <w:pPr>
        <w:tabs>
          <w:tab w:val="left" w:pos="1418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Predsedavajuća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rudarstva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morala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napusti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kraja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mogla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momentu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sazivanja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D6975" w:rsidRDefault="006D6975" w:rsidP="006D6975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Žarko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Ristić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Živan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Bajić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Stanislava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Janošević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485C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485C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85C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Veljko</w:t>
      </w:r>
      <w:r w:rsidR="00485C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="00485C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85C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Dušan</w:t>
      </w:r>
      <w:r w:rsidR="00485C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Čarkić</w:t>
      </w:r>
      <w:r w:rsidR="00485CB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D6975" w:rsidRDefault="006D6975" w:rsidP="006D6975">
      <w:pPr>
        <w:tabs>
          <w:tab w:val="left" w:pos="1418"/>
        </w:tabs>
        <w:spacing w:after="0" w:line="240" w:lineRule="auto"/>
        <w:ind w:firstLine="720"/>
        <w:jc w:val="both"/>
        <w:rPr>
          <w:rFonts w:eastAsia="Calibri"/>
          <w:sz w:val="24"/>
          <w:szCs w:val="24"/>
          <w:lang w:val="sr-Cyrl-RS"/>
        </w:rPr>
      </w:pPr>
    </w:p>
    <w:p w:rsidR="006D6975" w:rsidRDefault="006D6975" w:rsidP="006D6975">
      <w:pPr>
        <w:pStyle w:val="Bodytext40"/>
        <w:shd w:val="clear" w:color="auto" w:fill="auto"/>
        <w:spacing w:before="0" w:line="240" w:lineRule="auto"/>
        <w:jc w:val="both"/>
        <w:rPr>
          <w:b w:val="0"/>
          <w:sz w:val="24"/>
          <w:szCs w:val="24"/>
          <w:lang w:val="en-GB"/>
        </w:rPr>
      </w:pPr>
      <w:r>
        <w:rPr>
          <w:rFonts w:eastAsia="Calibri"/>
          <w:sz w:val="24"/>
          <w:szCs w:val="24"/>
          <w:lang w:val="sr-Cyrl-RS"/>
        </w:rPr>
        <w:tab/>
      </w:r>
    </w:p>
    <w:p w:rsidR="006D6975" w:rsidRDefault="006D6975" w:rsidP="006D697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</w:p>
    <w:p w:rsidR="006D6975" w:rsidRDefault="0035493B" w:rsidP="006D6975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Druga</w:t>
      </w:r>
      <w:r w:rsidR="006D69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6D69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6D69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6D69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6D697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Određivanje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dva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dva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zamenika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delegacije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učešće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sastancima</w:t>
      </w:r>
      <w:r w:rsidR="006D697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Parlamentarnog</w:t>
      </w:r>
      <w:r w:rsidR="00C50F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plenuma</w:t>
      </w:r>
      <w:r w:rsidR="00C50F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Energetske</w:t>
      </w:r>
      <w:r w:rsidR="00C50F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zajednice</w:t>
      </w:r>
    </w:p>
    <w:p w:rsidR="006D6975" w:rsidRDefault="006D6975" w:rsidP="006D6975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D6975" w:rsidRDefault="00C50F7B" w:rsidP="00E71CD0">
      <w:pPr>
        <w:pStyle w:val="ListParagraph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najviše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telo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Ministarski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sastanku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održanom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Tirani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radi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uključivanja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parlamenata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proces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kontrole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implementacije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Ministarski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uspostavljanju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redovnih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sastanaka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plenuma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Plenum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potpisnica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isto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toliko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Evropskog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Parlamentarni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plenum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primenu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aktivno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pruža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ostvarenju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ciljeva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jačanju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demokratskog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legitimiteta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transparentnosti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procesa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Formalno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formiran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decembru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2017.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godine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usvajanjem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Poslovnika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Telo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se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sastaje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dva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puta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godišnje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neformalno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već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jedanaest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godina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a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formalno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šest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uz-Cyrl-UZ"/>
        </w:rPr>
        <w:t>godina</w:t>
      </w:r>
      <w:r w:rsidR="006D6975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D6975" w:rsidRDefault="00C50F7B" w:rsidP="00E71CD0">
      <w:pPr>
        <w:pStyle w:val="ListParagraph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plenuma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Radenković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predsedavali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Odborom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prethodnim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sazivima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Poslovniku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plenuma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Energetske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nacionalnu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delegaciju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pravilu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plenuma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EnZ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Poslovnikom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PPEnZ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6975" w:rsidRDefault="006C2594" w:rsidP="00E71CD0">
      <w:pPr>
        <w:pStyle w:val="ListParagraph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11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Snežane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plenuma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izaberu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Radosavljević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C50F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6975" w:rsidRDefault="006C2594" w:rsidP="00E71CD0">
      <w:pPr>
        <w:pStyle w:val="ListParagraph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“) 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Snežane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izaberu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Davidovac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Žarko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Ristić</w:t>
      </w:r>
      <w:r w:rsidR="006D69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D6975" w:rsidRDefault="006D6975" w:rsidP="00E71C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D6975" w:rsidRDefault="006D6975" w:rsidP="00E71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zaključena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13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15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minuta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D6975" w:rsidRDefault="006D6975" w:rsidP="00E71CD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prenošena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live stream-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snimana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video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zapis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nalazi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internet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stranici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6D6975" w:rsidRDefault="006D6975" w:rsidP="00E71CD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6975" w:rsidRDefault="006D6975" w:rsidP="00E71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6D6975" w:rsidRDefault="006D6975" w:rsidP="006D6975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6D6975" w:rsidRDefault="006D6975" w:rsidP="006D6975">
      <w:pPr>
        <w:tabs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D6975" w:rsidRDefault="006D6975" w:rsidP="00F001C1">
      <w:pPr>
        <w:tabs>
          <w:tab w:val="left" w:pos="284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Balać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93B">
        <w:rPr>
          <w:rFonts w:ascii="Times New Roman" w:eastAsia="Calibri" w:hAnsi="Times New Roman" w:cs="Times New Roman"/>
          <w:sz w:val="24"/>
          <w:szCs w:val="24"/>
          <w:lang w:val="sr-Cyrl-RS"/>
        </w:rPr>
        <w:t>Paunović</w:t>
      </w:r>
    </w:p>
    <w:p w:rsidR="009D7708" w:rsidRDefault="009D7708"/>
    <w:sectPr w:rsidR="009D7708" w:rsidSect="00FC2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E1A" w:rsidRDefault="00652E1A" w:rsidP="00FC2E5C">
      <w:pPr>
        <w:spacing w:after="0" w:line="240" w:lineRule="auto"/>
      </w:pPr>
      <w:r>
        <w:separator/>
      </w:r>
    </w:p>
  </w:endnote>
  <w:endnote w:type="continuationSeparator" w:id="0">
    <w:p w:rsidR="00652E1A" w:rsidRDefault="00652E1A" w:rsidP="00FC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3B" w:rsidRDefault="00354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3B" w:rsidRDefault="003549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3B" w:rsidRDefault="00354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E1A" w:rsidRDefault="00652E1A" w:rsidP="00FC2E5C">
      <w:pPr>
        <w:spacing w:after="0" w:line="240" w:lineRule="auto"/>
      </w:pPr>
      <w:r>
        <w:separator/>
      </w:r>
    </w:p>
  </w:footnote>
  <w:footnote w:type="continuationSeparator" w:id="0">
    <w:p w:rsidR="00652E1A" w:rsidRDefault="00652E1A" w:rsidP="00FC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3B" w:rsidRDefault="00354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82814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7708" w:rsidRDefault="009D77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93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D7708" w:rsidRDefault="009D77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3B" w:rsidRDefault="00354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306A"/>
    <w:multiLevelType w:val="hybridMultilevel"/>
    <w:tmpl w:val="FCD41786"/>
    <w:lvl w:ilvl="0" w:tplc="D6AAB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E1AA3"/>
    <w:multiLevelType w:val="hybridMultilevel"/>
    <w:tmpl w:val="A44EB62A"/>
    <w:lvl w:ilvl="0" w:tplc="7C00AD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038E3"/>
    <w:multiLevelType w:val="hybridMultilevel"/>
    <w:tmpl w:val="C1B492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3C4C20"/>
    <w:multiLevelType w:val="hybridMultilevel"/>
    <w:tmpl w:val="B296D0CC"/>
    <w:lvl w:ilvl="0" w:tplc="3418E6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75"/>
    <w:rsid w:val="00033AE6"/>
    <w:rsid w:val="000C3B14"/>
    <w:rsid w:val="002501FC"/>
    <w:rsid w:val="00257402"/>
    <w:rsid w:val="0035493B"/>
    <w:rsid w:val="003775EE"/>
    <w:rsid w:val="00485CB0"/>
    <w:rsid w:val="004D788D"/>
    <w:rsid w:val="004F009E"/>
    <w:rsid w:val="00537534"/>
    <w:rsid w:val="00652E1A"/>
    <w:rsid w:val="006847FC"/>
    <w:rsid w:val="006C2594"/>
    <w:rsid w:val="006D6975"/>
    <w:rsid w:val="0074392C"/>
    <w:rsid w:val="0075612F"/>
    <w:rsid w:val="00870E57"/>
    <w:rsid w:val="008E4682"/>
    <w:rsid w:val="00915A3D"/>
    <w:rsid w:val="009164C7"/>
    <w:rsid w:val="009856D6"/>
    <w:rsid w:val="009D7708"/>
    <w:rsid w:val="00A81871"/>
    <w:rsid w:val="00AA4755"/>
    <w:rsid w:val="00AC25DA"/>
    <w:rsid w:val="00AD1BC1"/>
    <w:rsid w:val="00B410CB"/>
    <w:rsid w:val="00B46AE2"/>
    <w:rsid w:val="00C16478"/>
    <w:rsid w:val="00C22342"/>
    <w:rsid w:val="00C34381"/>
    <w:rsid w:val="00C50F7B"/>
    <w:rsid w:val="00CA1234"/>
    <w:rsid w:val="00CA2B41"/>
    <w:rsid w:val="00CA709F"/>
    <w:rsid w:val="00CB04C0"/>
    <w:rsid w:val="00DE62A6"/>
    <w:rsid w:val="00E527C2"/>
    <w:rsid w:val="00E71CD0"/>
    <w:rsid w:val="00EB5C91"/>
    <w:rsid w:val="00F001C1"/>
    <w:rsid w:val="00F6135D"/>
    <w:rsid w:val="00F97738"/>
    <w:rsid w:val="00FC2E5C"/>
    <w:rsid w:val="00FE41BF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A0EAA-E22B-4EF9-B4AE-EA32FE20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975"/>
    <w:pPr>
      <w:spacing w:after="160"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975"/>
    <w:pPr>
      <w:ind w:left="720"/>
      <w:contextualSpacing/>
    </w:pPr>
    <w:rPr>
      <w:lang w:val="en-US"/>
    </w:rPr>
  </w:style>
  <w:style w:type="character" w:customStyle="1" w:styleId="Bodytext4">
    <w:name w:val="Body text (4)_"/>
    <w:basedOn w:val="DefaultParagraphFont"/>
    <w:link w:val="Bodytext40"/>
    <w:locked/>
    <w:rsid w:val="006D69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D6975"/>
    <w:pPr>
      <w:widowControl w:val="0"/>
      <w:shd w:val="clear" w:color="auto" w:fill="FFFFFF"/>
      <w:spacing w:before="280" w:after="0" w:line="278" w:lineRule="exact"/>
    </w:pPr>
    <w:rPr>
      <w:rFonts w:ascii="Times New Roman" w:eastAsia="Times New Roman" w:hAnsi="Times New Roman" w:cs="Times New Roman"/>
      <w:b/>
      <w:b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B5C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E5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E5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4812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Balać</dc:creator>
  <cp:keywords/>
  <dc:description/>
  <cp:lastModifiedBy>Sandra Stankovic</cp:lastModifiedBy>
  <cp:revision>3</cp:revision>
  <dcterms:created xsi:type="dcterms:W3CDTF">2024-12-25T12:05:00Z</dcterms:created>
  <dcterms:modified xsi:type="dcterms:W3CDTF">2024-12-25T12:05:00Z</dcterms:modified>
</cp:coreProperties>
</file>